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B0C6" w14:textId="4CEF0BC0" w:rsidR="00A27264" w:rsidRPr="00A27264" w:rsidRDefault="00A27264" w:rsidP="00A27264">
      <w:pPr>
        <w:spacing w:afterLines="50" w:after="156" w:line="400" w:lineRule="exact"/>
        <w:jc w:val="left"/>
        <w:rPr>
          <w:rFonts w:ascii="微软雅黑" w:eastAsia="微软雅黑" w:hAnsi="微软雅黑"/>
          <w:b/>
          <w:bCs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sz w:val="22"/>
          <w:szCs w:val="22"/>
        </w:rPr>
        <w:t>附件1：</w:t>
      </w:r>
      <w:r w:rsidRPr="00A27264">
        <w:rPr>
          <w:rFonts w:ascii="微软雅黑" w:eastAsia="微软雅黑" w:hAnsi="微软雅黑" w:hint="eastAsia"/>
          <w:b/>
          <w:bCs/>
          <w:sz w:val="22"/>
          <w:szCs w:val="22"/>
        </w:rPr>
        <w:t>团队合作坊 (Special</w:t>
      </w:r>
      <w:r w:rsidRPr="00A27264">
        <w:rPr>
          <w:rFonts w:ascii="微软雅黑" w:eastAsia="微软雅黑" w:hAnsi="微软雅黑"/>
          <w:b/>
          <w:bCs/>
          <w:sz w:val="22"/>
          <w:szCs w:val="22"/>
        </w:rPr>
        <w:t xml:space="preserve"> </w:t>
      </w:r>
      <w:r w:rsidRPr="00A27264">
        <w:rPr>
          <w:rFonts w:ascii="微软雅黑" w:eastAsia="微软雅黑" w:hAnsi="微软雅黑" w:hint="eastAsia"/>
          <w:b/>
          <w:bCs/>
          <w:sz w:val="22"/>
          <w:szCs w:val="22"/>
        </w:rPr>
        <w:t>Workshop</w:t>
      </w:r>
      <w:r w:rsidRPr="00A27264">
        <w:rPr>
          <w:rFonts w:ascii="微软雅黑" w:eastAsia="微软雅黑" w:hAnsi="微软雅黑"/>
          <w:b/>
          <w:bCs/>
          <w:sz w:val="22"/>
          <w:szCs w:val="22"/>
        </w:rPr>
        <w:t xml:space="preserve">) </w:t>
      </w:r>
      <w:r w:rsidRPr="00A27264">
        <w:rPr>
          <w:rFonts w:ascii="微软雅黑" w:eastAsia="微软雅黑" w:hAnsi="微软雅黑" w:hint="eastAsia"/>
          <w:b/>
          <w:bCs/>
          <w:sz w:val="22"/>
          <w:szCs w:val="22"/>
        </w:rPr>
        <w:t>参考课题</w:t>
      </w:r>
    </w:p>
    <w:p w14:paraId="66DE68E1" w14:textId="77777777" w:rsidR="00A27264" w:rsidRPr="00A27264" w:rsidRDefault="00A27264" w:rsidP="00A27264">
      <w:pPr>
        <w:spacing w:afterLines="50" w:after="156" w:line="400" w:lineRule="exact"/>
        <w:jc w:val="center"/>
        <w:rPr>
          <w:rFonts w:ascii="微软雅黑" w:eastAsia="微软雅黑" w:hAnsi="微软雅黑" w:hint="eastAsia"/>
          <w:b/>
          <w:bCs/>
          <w:sz w:val="22"/>
          <w:szCs w:val="22"/>
        </w:rPr>
      </w:pPr>
    </w:p>
    <w:p w14:paraId="7D6A6E7B" w14:textId="77777777" w:rsidR="00A27264" w:rsidRPr="00A27264" w:rsidRDefault="00A27264" w:rsidP="00A27264">
      <w:pPr>
        <w:spacing w:afterLines="50" w:after="156" w:line="400" w:lineRule="exact"/>
        <w:jc w:val="left"/>
        <w:rPr>
          <w:rFonts w:ascii="微软雅黑" w:eastAsia="微软雅黑" w:hAnsi="微软雅黑" w:hint="eastAsia"/>
          <w:b/>
          <w:bCs/>
          <w:sz w:val="22"/>
          <w:szCs w:val="22"/>
        </w:rPr>
      </w:pPr>
      <w:r w:rsidRPr="00A27264">
        <w:rPr>
          <w:rFonts w:ascii="微软雅黑" w:eastAsia="微软雅黑" w:hAnsi="微软雅黑" w:hint="eastAsia"/>
          <w:b/>
          <w:bCs/>
          <w:sz w:val="22"/>
          <w:szCs w:val="22"/>
        </w:rPr>
        <w:t>论坛提供但不局限于以下课题作为团队合作坊报告主题，供同学们参考。</w:t>
      </w:r>
    </w:p>
    <w:p w14:paraId="771D505A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以珠江口缺氧出现死鱼为背景，设计实验/航次，调查缺氧原因、产生条件、生态影响等。</w:t>
      </w:r>
    </w:p>
    <w:p w14:paraId="3AA08DA6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闽浙沿岸上升流的观测设计</w:t>
      </w:r>
    </w:p>
    <w:p w14:paraId="3C66E402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设计实验观测闽浙地区沿岸开尔文波以及其罗斯贝半径</w:t>
      </w:r>
    </w:p>
    <w:p w14:paraId="5245FE3C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如何</w:t>
      </w: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将东山站建立富有特色的长期的海洋定点观测站</w:t>
      </w:r>
    </w:p>
    <w:p w14:paraId="62373802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基于嘉庚号的海洋痕量金属的生物地球化学观测计划</w:t>
      </w:r>
    </w:p>
    <w:p w14:paraId="7B6C9A5C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痕量和常量营养盐的准确测定</w:t>
      </w:r>
    </w:p>
    <w:p w14:paraId="106AC25F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营养盐的浓度的准确</w:t>
      </w:r>
      <w:r w:rsidRPr="00A27264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测定</w:t>
      </w: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对于研究硝化反硝化</w:t>
      </w:r>
    </w:p>
    <w:p w14:paraId="6AAF6F3B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  <w:t>寡营养盐海域生物培养实验</w:t>
      </w:r>
    </w:p>
    <w:p w14:paraId="674B1787" w14:textId="77777777" w:rsidR="00A27264" w:rsidRPr="00A27264" w:rsidRDefault="00A27264" w:rsidP="00A27264">
      <w:pPr>
        <w:numPr>
          <w:ilvl w:val="0"/>
          <w:numId w:val="3"/>
        </w:numPr>
        <w:spacing w:afterLines="50" w:after="156" w:line="400" w:lineRule="exact"/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</w:pPr>
      <w:r w:rsidRPr="00A27264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西太平洋和南海水体交换研究</w:t>
      </w:r>
    </w:p>
    <w:p w14:paraId="46D281DD" w14:textId="77777777" w:rsidR="00A27264" w:rsidRPr="00A27264" w:rsidRDefault="00A27264" w:rsidP="00A27264">
      <w:pPr>
        <w:spacing w:afterLines="50" w:after="156" w:line="400" w:lineRule="exact"/>
        <w:jc w:val="center"/>
        <w:rPr>
          <w:rFonts w:ascii="微软雅黑" w:eastAsia="微软雅黑" w:hAnsi="微软雅黑" w:cs="Times New Roman"/>
          <w:sz w:val="22"/>
          <w:szCs w:val="22"/>
        </w:rPr>
      </w:pPr>
    </w:p>
    <w:p w14:paraId="182C654F" w14:textId="77777777" w:rsidR="00A27264" w:rsidRDefault="00A27264" w:rsidP="00A27264">
      <w:pPr>
        <w:widowControl/>
        <w:spacing w:afterLines="50" w:after="156" w:line="400" w:lineRule="exact"/>
        <w:jc w:val="left"/>
        <w:rPr>
          <w:rFonts w:ascii="微软雅黑" w:eastAsia="微软雅黑" w:hAnsi="微软雅黑"/>
          <w:b/>
          <w:bCs/>
          <w:sz w:val="22"/>
          <w:szCs w:val="22"/>
        </w:rPr>
      </w:pPr>
      <w:r>
        <w:rPr>
          <w:rFonts w:ascii="微软雅黑" w:eastAsia="微软雅黑" w:hAnsi="微软雅黑"/>
          <w:b/>
          <w:bCs/>
          <w:sz w:val="22"/>
          <w:szCs w:val="22"/>
        </w:rPr>
        <w:br w:type="page"/>
      </w:r>
    </w:p>
    <w:p w14:paraId="6E6642FD" w14:textId="75FA2362" w:rsidR="00A27264" w:rsidRPr="00A27264" w:rsidRDefault="00A27264" w:rsidP="00A27264">
      <w:pPr>
        <w:spacing w:afterLines="50" w:after="156" w:line="400" w:lineRule="exact"/>
        <w:jc w:val="left"/>
        <w:rPr>
          <w:rFonts w:ascii="微软雅黑" w:eastAsia="微软雅黑" w:hAnsi="微软雅黑"/>
          <w:b/>
          <w:bCs/>
          <w:sz w:val="22"/>
          <w:szCs w:val="22"/>
        </w:rPr>
      </w:pPr>
      <w:r w:rsidRPr="00A27264">
        <w:rPr>
          <w:rFonts w:ascii="微软雅黑" w:eastAsia="微软雅黑" w:hAnsi="微软雅黑" w:hint="eastAsia"/>
          <w:b/>
          <w:bCs/>
          <w:sz w:val="22"/>
          <w:szCs w:val="22"/>
        </w:rPr>
        <w:lastRenderedPageBreak/>
        <w:t>附件</w:t>
      </w:r>
      <w:r w:rsidRPr="00A27264">
        <w:rPr>
          <w:rFonts w:ascii="微软雅黑" w:eastAsia="微软雅黑" w:hAnsi="微软雅黑"/>
          <w:b/>
          <w:bCs/>
          <w:sz w:val="22"/>
          <w:szCs w:val="22"/>
        </w:rPr>
        <w:t>二：</w:t>
      </w:r>
      <w:r w:rsidRPr="00A27264">
        <w:rPr>
          <w:rFonts w:ascii="微软雅黑" w:eastAsia="微软雅黑" w:hAnsi="微软雅黑" w:hint="eastAsia"/>
          <w:b/>
          <w:bCs/>
          <w:sz w:val="22"/>
          <w:szCs w:val="22"/>
        </w:rPr>
        <w:t>背景介绍</w:t>
      </w:r>
    </w:p>
    <w:p w14:paraId="1063E2EC" w14:textId="297450BB" w:rsidR="00C67DB4" w:rsidRPr="00A27264" w:rsidRDefault="00A27264" w:rsidP="00A27264">
      <w:pPr>
        <w:spacing w:afterLines="50" w:after="156" w:line="400" w:lineRule="exact"/>
        <w:jc w:val="center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/>
          <w:color w:val="262626"/>
          <w:sz w:val="22"/>
          <w:szCs w:val="22"/>
        </w:rPr>
        <w:t>东山</w:t>
      </w:r>
      <w:r>
        <w:rPr>
          <w:rFonts w:ascii="微软雅黑" w:eastAsia="微软雅黑" w:hAnsi="微软雅黑" w:hint="eastAsia"/>
          <w:color w:val="262626"/>
          <w:sz w:val="22"/>
          <w:szCs w:val="22"/>
        </w:rPr>
        <w:t>太古</w:t>
      </w:r>
      <w:r w:rsidRPr="00A27264">
        <w:rPr>
          <w:rFonts w:ascii="微软雅黑" w:eastAsia="微软雅黑" w:hAnsi="微软雅黑"/>
          <w:color w:val="262626"/>
          <w:sz w:val="22"/>
          <w:szCs w:val="22"/>
        </w:rPr>
        <w:t>海洋观测</w:t>
      </w:r>
      <w:r>
        <w:rPr>
          <w:rFonts w:ascii="微软雅黑" w:eastAsia="微软雅黑" w:hAnsi="微软雅黑" w:hint="eastAsia"/>
          <w:color w:val="262626"/>
          <w:sz w:val="22"/>
          <w:szCs w:val="22"/>
        </w:rPr>
        <w:t>与</w:t>
      </w:r>
      <w:r>
        <w:rPr>
          <w:rFonts w:ascii="微软雅黑" w:eastAsia="微软雅黑" w:hAnsi="微软雅黑"/>
          <w:color w:val="262626"/>
          <w:sz w:val="22"/>
          <w:szCs w:val="22"/>
        </w:rPr>
        <w:t>实验</w:t>
      </w:r>
      <w:r w:rsidRPr="00A27264">
        <w:rPr>
          <w:rFonts w:ascii="微软雅黑" w:eastAsia="微软雅黑" w:hAnsi="微软雅黑"/>
          <w:color w:val="262626"/>
          <w:sz w:val="22"/>
          <w:szCs w:val="22"/>
        </w:rPr>
        <w:t>站</w:t>
      </w:r>
      <w:r w:rsidR="00AA0CFB" w:rsidRPr="00A27264">
        <w:rPr>
          <w:rFonts w:ascii="微软雅黑" w:eastAsia="微软雅黑" w:hAnsi="微软雅黑" w:cs="Times New Roman"/>
          <w:sz w:val="22"/>
          <w:szCs w:val="22"/>
        </w:rPr>
        <w:t>与</w:t>
      </w:r>
      <w:r>
        <w:rPr>
          <w:rFonts w:ascii="微软雅黑" w:eastAsia="微软雅黑" w:hAnsi="微软雅黑" w:cs="Times New Roman" w:hint="eastAsia"/>
          <w:sz w:val="22"/>
          <w:szCs w:val="22"/>
        </w:rPr>
        <w:t>“</w:t>
      </w:r>
      <w:r w:rsidRPr="00A27264">
        <w:rPr>
          <w:rFonts w:ascii="微软雅黑" w:eastAsia="微软雅黑" w:hAnsi="微软雅黑" w:cs="Times New Roman"/>
          <w:sz w:val="22"/>
          <w:szCs w:val="22"/>
        </w:rPr>
        <w:t>嘉庚</w:t>
      </w:r>
      <w:r>
        <w:rPr>
          <w:rFonts w:ascii="微软雅黑" w:eastAsia="微软雅黑" w:hAnsi="微软雅黑" w:cs="Times New Roman" w:hint="eastAsia"/>
          <w:sz w:val="22"/>
          <w:szCs w:val="22"/>
        </w:rPr>
        <w:t>”</w:t>
      </w:r>
      <w:r w:rsidR="00AA0CFB" w:rsidRPr="00A27264">
        <w:rPr>
          <w:rFonts w:ascii="微软雅黑" w:eastAsia="微软雅黑" w:hAnsi="微软雅黑" w:cs="Times New Roman"/>
          <w:sz w:val="22"/>
          <w:szCs w:val="22"/>
        </w:rPr>
        <w:t>号基本</w:t>
      </w:r>
      <w:r w:rsidR="00EB7E41" w:rsidRPr="00A27264">
        <w:rPr>
          <w:rFonts w:ascii="微软雅黑" w:eastAsia="微软雅黑" w:hAnsi="微软雅黑" w:cs="Times New Roman"/>
          <w:sz w:val="22"/>
          <w:szCs w:val="22"/>
        </w:rPr>
        <w:t>信息</w:t>
      </w:r>
      <w:r w:rsidR="00AA0CFB" w:rsidRPr="00A27264">
        <w:rPr>
          <w:rFonts w:ascii="微软雅黑" w:eastAsia="微软雅黑" w:hAnsi="微软雅黑" w:cs="Times New Roman"/>
          <w:sz w:val="22"/>
          <w:szCs w:val="22"/>
        </w:rPr>
        <w:t>简介</w:t>
      </w:r>
    </w:p>
    <w:p w14:paraId="3503EEB7" w14:textId="42D95762" w:rsidR="00D50782" w:rsidRPr="00A27264" w:rsidRDefault="00A27264" w:rsidP="00A27264">
      <w:pPr>
        <w:pStyle w:val="a4"/>
        <w:widowControl/>
        <w:numPr>
          <w:ilvl w:val="0"/>
          <w:numId w:val="2"/>
        </w:numPr>
        <w:autoSpaceDE w:val="0"/>
        <w:autoSpaceDN w:val="0"/>
        <w:spacing w:afterLines="50" w:after="156" w:line="400" w:lineRule="exact"/>
        <w:ind w:firstLineChars="0"/>
        <w:rPr>
          <w:rFonts w:ascii="微软雅黑" w:eastAsia="微软雅黑" w:hAnsi="微软雅黑"/>
          <w:b/>
          <w:color w:val="262626"/>
          <w:sz w:val="22"/>
          <w:szCs w:val="22"/>
        </w:rPr>
      </w:pPr>
      <w:r w:rsidRPr="00A27264">
        <w:rPr>
          <w:rFonts w:ascii="微软雅黑" w:eastAsia="微软雅黑" w:hAnsi="微软雅黑" w:hint="eastAsia"/>
          <w:b/>
          <w:color w:val="262626"/>
          <w:sz w:val="22"/>
          <w:szCs w:val="22"/>
        </w:rPr>
        <w:t>厦门大学</w:t>
      </w:r>
      <w:r w:rsidR="00EB7E41" w:rsidRPr="00A27264">
        <w:rPr>
          <w:rFonts w:ascii="微软雅黑" w:eastAsia="微软雅黑" w:hAnsi="微软雅黑"/>
          <w:b/>
          <w:color w:val="262626"/>
          <w:sz w:val="22"/>
          <w:szCs w:val="22"/>
        </w:rPr>
        <w:t>东山</w:t>
      </w:r>
      <w:r w:rsidRPr="00A27264">
        <w:rPr>
          <w:rFonts w:ascii="微软雅黑" w:eastAsia="微软雅黑" w:hAnsi="微软雅黑" w:hint="eastAsia"/>
          <w:b/>
          <w:color w:val="262626"/>
          <w:sz w:val="22"/>
          <w:szCs w:val="22"/>
        </w:rPr>
        <w:t>太古</w:t>
      </w:r>
      <w:r w:rsidR="00EB7E41" w:rsidRPr="00A27264">
        <w:rPr>
          <w:rFonts w:ascii="微软雅黑" w:eastAsia="微软雅黑" w:hAnsi="微软雅黑"/>
          <w:b/>
          <w:color w:val="262626"/>
          <w:sz w:val="22"/>
          <w:szCs w:val="22"/>
        </w:rPr>
        <w:t>海洋观测</w:t>
      </w:r>
      <w:r w:rsidRPr="00A27264">
        <w:rPr>
          <w:rFonts w:ascii="微软雅黑" w:eastAsia="微软雅黑" w:hAnsi="微软雅黑" w:hint="eastAsia"/>
          <w:b/>
          <w:color w:val="262626"/>
          <w:sz w:val="22"/>
          <w:szCs w:val="22"/>
        </w:rPr>
        <w:t>与</w:t>
      </w:r>
      <w:r w:rsidRPr="00A27264">
        <w:rPr>
          <w:rFonts w:ascii="微软雅黑" w:eastAsia="微软雅黑" w:hAnsi="微软雅黑"/>
          <w:b/>
          <w:color w:val="262626"/>
          <w:sz w:val="22"/>
          <w:szCs w:val="22"/>
        </w:rPr>
        <w:t>实验</w:t>
      </w:r>
      <w:r w:rsidR="00EB7E41" w:rsidRPr="00A27264">
        <w:rPr>
          <w:rFonts w:ascii="微软雅黑" w:eastAsia="微软雅黑" w:hAnsi="微软雅黑"/>
          <w:b/>
          <w:color w:val="262626"/>
          <w:sz w:val="22"/>
          <w:szCs w:val="22"/>
        </w:rPr>
        <w:t>站：</w:t>
      </w:r>
      <w:r w:rsidR="00AA0CFB" w:rsidRPr="00A27264">
        <w:rPr>
          <w:rFonts w:ascii="微软雅黑" w:eastAsia="微软雅黑" w:hAnsi="微软雅黑"/>
          <w:b/>
          <w:color w:val="262626"/>
          <w:sz w:val="22"/>
          <w:szCs w:val="22"/>
        </w:rPr>
        <w:t>海—陆—气界面环境要素检测平台</w:t>
      </w:r>
    </w:p>
    <w:p w14:paraId="77FB8C40" w14:textId="25DE91DE" w:rsidR="003F5501" w:rsidRPr="00A27264" w:rsidRDefault="003F5501" w:rsidP="00A27264">
      <w:pPr>
        <w:spacing w:afterLines="50" w:after="156" w:line="400" w:lineRule="exact"/>
        <w:ind w:firstLine="420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东山岛面临台湾海峡南端的开阔海域，受韩江河口羽流和九龙江河口羽流的影响较小，海水环境要素最接近南海北部陆架水体。东山岛具有很好的海洋科学观测积累。东山海洋水文站已有50多年的滨海海洋观测和6年的地波雷达观测与浮标观测积累。</w:t>
      </w:r>
    </w:p>
    <w:p w14:paraId="33AF8C16" w14:textId="5EBE1FD4" w:rsidR="00C92855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1、</w:t>
      </w:r>
      <w:r w:rsidR="00C92855"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实验室观测平台</w:t>
      </w:r>
    </w:p>
    <w:p w14:paraId="2659C70E" w14:textId="6C8336B5" w:rsidR="00CF5396" w:rsidRPr="00A27264" w:rsidRDefault="00CF5396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观测要素：大气观测 海水化学观测 生物观测</w:t>
      </w:r>
      <w:r w:rsidR="00AA0CFB"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。</w:t>
      </w:r>
    </w:p>
    <w:p w14:paraId="608D8A38" w14:textId="2FD0C164" w:rsidR="00CF5396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2、地下水观测平台</w:t>
      </w:r>
    </w:p>
    <w:p w14:paraId="2F1D353F" w14:textId="19DA733A" w:rsidR="00CF5396" w:rsidRPr="00A27264" w:rsidRDefault="00CF5396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观测要素：水质参数观测 水化学参数观测 镭/氡</w:t>
      </w:r>
      <w:r w:rsidR="00AA0CFB"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天然同位素观测。</w:t>
      </w:r>
    </w:p>
    <w:p w14:paraId="6019392E" w14:textId="32F4CEE0" w:rsidR="00CF5396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3、岩礁-珊瑚生态观测系统</w:t>
      </w:r>
    </w:p>
    <w:p w14:paraId="6DCA0A1C" w14:textId="5D9435A2" w:rsidR="00AA0CFB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水文观测子系统 珊瑚生态观测子系统 潮间带生态观测子系统。</w:t>
      </w:r>
    </w:p>
    <w:p w14:paraId="5C291E3F" w14:textId="5790AEE1" w:rsidR="00AA0CFB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4、栈桥观测平台</w:t>
      </w:r>
    </w:p>
    <w:p w14:paraId="226F63F1" w14:textId="39886CBB" w:rsidR="00CF5396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观测浮标+海床基 CTD ADCP数据采集器  CTD气象站；</w:t>
      </w:r>
    </w:p>
    <w:p w14:paraId="397BEAC3" w14:textId="41C002E6" w:rsidR="00AA0CFB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基于海底光缆的观测网，与大科学工程南海北部海底观测网链接。</w:t>
      </w:r>
    </w:p>
    <w:p w14:paraId="5509DB81" w14:textId="60C57F3B" w:rsidR="00AA0CFB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6、移动观测平台</w:t>
      </w:r>
    </w:p>
    <w:p w14:paraId="7BAABA63" w14:textId="7E3BF789" w:rsidR="00AA0CFB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提供车载监测车辆、集装箱观测系统等临时性或特定观测设备应用支持平台。</w:t>
      </w:r>
    </w:p>
    <w:p w14:paraId="796B2C7F" w14:textId="103A7EF6" w:rsidR="00B261A8" w:rsidRPr="00A27264" w:rsidRDefault="00AA0CFB" w:rsidP="00A27264">
      <w:pPr>
        <w:widowControl/>
        <w:autoSpaceDE w:val="0"/>
        <w:autoSpaceDN w:val="0"/>
        <w:adjustRightInd w:val="0"/>
        <w:spacing w:afterLines="50" w:after="156" w:line="400" w:lineRule="exact"/>
        <w:ind w:leftChars="175" w:left="420"/>
        <w:jc w:val="left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7、岸基实验和仪器测试平台</w:t>
      </w:r>
    </w:p>
    <w:p w14:paraId="1130B9F9" w14:textId="5ACA660B" w:rsidR="00550F78" w:rsidRPr="00A27264" w:rsidRDefault="00EB7E41" w:rsidP="00A27264">
      <w:pPr>
        <w:pStyle w:val="a4"/>
        <w:widowControl/>
        <w:numPr>
          <w:ilvl w:val="0"/>
          <w:numId w:val="2"/>
        </w:numPr>
        <w:autoSpaceDE w:val="0"/>
        <w:autoSpaceDN w:val="0"/>
        <w:spacing w:afterLines="50" w:after="156" w:line="400" w:lineRule="exact"/>
        <w:ind w:firstLineChars="0"/>
        <w:rPr>
          <w:rFonts w:ascii="微软雅黑" w:eastAsia="微软雅黑" w:hAnsi="微软雅黑"/>
          <w:b/>
          <w:color w:val="262626"/>
          <w:sz w:val="22"/>
          <w:szCs w:val="22"/>
        </w:rPr>
      </w:pPr>
      <w:bookmarkStart w:id="0" w:name="_GoBack"/>
      <w:r w:rsidRPr="00A27264">
        <w:rPr>
          <w:rFonts w:ascii="微软雅黑" w:eastAsia="微软雅黑" w:hAnsi="微软雅黑"/>
          <w:b/>
          <w:color w:val="262626"/>
          <w:sz w:val="22"/>
          <w:szCs w:val="22"/>
        </w:rPr>
        <w:t>厦</w:t>
      </w:r>
      <w:r w:rsidR="00E35F2C" w:rsidRPr="00A27264">
        <w:rPr>
          <w:rFonts w:ascii="微软雅黑" w:eastAsia="微软雅黑" w:hAnsi="微软雅黑" w:hint="eastAsia"/>
          <w:b/>
          <w:color w:val="262626"/>
          <w:sz w:val="22"/>
          <w:szCs w:val="22"/>
        </w:rPr>
        <w:t>门大学</w:t>
      </w:r>
      <w:r w:rsidR="00E35F2C" w:rsidRPr="00A27264">
        <w:rPr>
          <w:rFonts w:ascii="微软雅黑" w:eastAsia="微软雅黑" w:hAnsi="微软雅黑"/>
          <w:b/>
          <w:color w:val="262626"/>
          <w:sz w:val="22"/>
          <w:szCs w:val="22"/>
        </w:rPr>
        <w:t>“嘉庚</w:t>
      </w:r>
      <w:r w:rsidR="00A27264" w:rsidRPr="00A27264">
        <w:rPr>
          <w:rFonts w:ascii="微软雅黑" w:eastAsia="微软雅黑" w:hAnsi="微软雅黑"/>
          <w:b/>
          <w:color w:val="262626"/>
          <w:sz w:val="22"/>
          <w:szCs w:val="22"/>
        </w:rPr>
        <w:t>”</w:t>
      </w:r>
      <w:r w:rsidR="00E35F2C" w:rsidRPr="00A27264">
        <w:rPr>
          <w:rFonts w:ascii="微软雅黑" w:eastAsia="微软雅黑" w:hAnsi="微软雅黑"/>
          <w:b/>
          <w:color w:val="262626"/>
          <w:sz w:val="22"/>
          <w:szCs w:val="22"/>
        </w:rPr>
        <w:t>号</w:t>
      </w:r>
      <w:r w:rsidRPr="00A27264">
        <w:rPr>
          <w:rFonts w:ascii="微软雅黑" w:eastAsia="微软雅黑" w:hAnsi="微软雅黑"/>
          <w:b/>
          <w:color w:val="262626"/>
          <w:sz w:val="22"/>
          <w:szCs w:val="22"/>
        </w:rPr>
        <w:t>科考船</w:t>
      </w:r>
      <w:r w:rsidR="00550F78" w:rsidRPr="00A27264">
        <w:rPr>
          <w:rFonts w:ascii="微软雅黑" w:eastAsia="微软雅黑" w:hAnsi="微软雅黑"/>
          <w:b/>
          <w:color w:val="262626"/>
          <w:sz w:val="22"/>
          <w:szCs w:val="22"/>
        </w:rPr>
        <w:t>：</w:t>
      </w:r>
    </w:p>
    <w:bookmarkEnd w:id="0"/>
    <w:p w14:paraId="155B2D06" w14:textId="1C6F4C52" w:rsidR="00EB7E41" w:rsidRPr="00A27264" w:rsidRDefault="00550F78" w:rsidP="00A27264">
      <w:pPr>
        <w:spacing w:afterLines="50" w:after="156" w:line="400" w:lineRule="exact"/>
        <w:ind w:firstLine="420"/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</w:pP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“嘉庚</w:t>
      </w:r>
      <w:r w:rsidR="00A27264"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”</w:t>
      </w:r>
      <w:r w:rsidRPr="00A27264">
        <w:rPr>
          <w:rFonts w:ascii="微软雅黑" w:eastAsia="微软雅黑" w:hAnsi="微软雅黑" w:cs="Times New Roman"/>
          <w:color w:val="262626"/>
          <w:kern w:val="0"/>
          <w:sz w:val="22"/>
          <w:szCs w:val="22"/>
        </w:rPr>
        <w:t>号是我国第一艘采用国外方案设计、国内转化详细设计，并由船东拥有完全知识产权的海洋科学综合考察船。长77.7米、宽16.24米，设计吃水5.2米，满载排水量约3450吨，经济航速11节，最大航速大于14节，续航力大于10000海里，自持力大于50天，可容纳50多人在船上进行科考、实验，交付后将承担多学科海上综合考察任务，能在所有无冰洋区开展海洋学研究、教学实习和相关工程作业。具备出色的海洋观测设备收放、操控的能力；船身装备高性能声学设备；能够支持水文、化学、生物等学科的观测和现场科学实验研究。</w:t>
      </w:r>
    </w:p>
    <w:p w14:paraId="27B54612" w14:textId="77777777" w:rsidR="00AA0CFB" w:rsidRPr="00A27264" w:rsidRDefault="00AA0CFB" w:rsidP="00A27264">
      <w:pPr>
        <w:spacing w:afterLines="50" w:after="156" w:line="400" w:lineRule="exact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1、船舶主尺度</w:t>
      </w:r>
    </w:p>
    <w:p w14:paraId="704DFA9A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lastRenderedPageBreak/>
        <w:t>总长77.70 米</w:t>
      </w:r>
    </w:p>
    <w:p w14:paraId="7A93CC85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型宽16.24 米</w:t>
      </w:r>
    </w:p>
    <w:p w14:paraId="1319FDC9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型深8米</w:t>
      </w:r>
    </w:p>
    <w:p w14:paraId="6729B80C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设计吃水5.3米</w:t>
      </w:r>
    </w:p>
    <w:p w14:paraId="46868EC2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设计排水量3592 吨</w:t>
      </w:r>
    </w:p>
    <w:p w14:paraId="331F7F9F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最高航速：不小于14节，经济航速11节</w:t>
      </w:r>
    </w:p>
    <w:p w14:paraId="5A6FB3C1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续航力：不小于10000 海里（船模试验预估11500海里）</w:t>
      </w:r>
    </w:p>
    <w:p w14:paraId="0A4FC769" w14:textId="77777777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自持力：不小于50天</w:t>
      </w:r>
    </w:p>
    <w:p w14:paraId="267E008B" w14:textId="21B00EC5" w:rsidR="00AA0CFB" w:rsidRPr="00A27264" w:rsidRDefault="00AA0CFB" w:rsidP="00A27264">
      <w:pPr>
        <w:pStyle w:val="a4"/>
        <w:numPr>
          <w:ilvl w:val="0"/>
          <w:numId w:val="1"/>
        </w:numPr>
        <w:spacing w:afterLines="50" w:after="156" w:line="400" w:lineRule="exact"/>
        <w:ind w:firstLineChars="0"/>
        <w:rPr>
          <w:rFonts w:ascii="微软雅黑" w:eastAsia="微软雅黑" w:hAnsi="微软雅黑"/>
          <w:sz w:val="22"/>
          <w:szCs w:val="22"/>
        </w:rPr>
      </w:pPr>
      <w:r w:rsidRPr="00A27264">
        <w:rPr>
          <w:rFonts w:ascii="微软雅黑" w:eastAsia="微软雅黑" w:hAnsi="微软雅黑"/>
          <w:sz w:val="22"/>
          <w:szCs w:val="22"/>
        </w:rPr>
        <w:t>定员54 人（船员18人，科学家36人）</w:t>
      </w:r>
    </w:p>
    <w:p w14:paraId="34F28C99" w14:textId="499EF8DD" w:rsidR="00AA0CFB" w:rsidRPr="00A27264" w:rsidRDefault="00AA0CFB" w:rsidP="00A27264">
      <w:pPr>
        <w:spacing w:afterLines="50" w:after="156" w:line="400" w:lineRule="exact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2、科考空间概况</w:t>
      </w:r>
    </w:p>
    <w:tbl>
      <w:tblPr>
        <w:tblW w:w="8887" w:type="dxa"/>
        <w:jc w:val="center"/>
        <w:tblLook w:val="04A0" w:firstRow="1" w:lastRow="0" w:firstColumn="1" w:lastColumn="0" w:noHBand="0" w:noVBand="1"/>
      </w:tblPr>
      <w:tblGrid>
        <w:gridCol w:w="1080"/>
        <w:gridCol w:w="1629"/>
        <w:gridCol w:w="4860"/>
        <w:gridCol w:w="1318"/>
      </w:tblGrid>
      <w:tr w:rsidR="00AA0CFB" w:rsidRPr="00A27264" w14:paraId="14B92CA4" w14:textId="77777777" w:rsidTr="00A27264">
        <w:trPr>
          <w:trHeight w:val="270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BD1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C0A4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  <w:t>实验室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4D1D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  <w:t>功能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21CD8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b/>
                <w:bCs/>
                <w:color w:val="000000"/>
                <w:sz w:val="22"/>
                <w:szCs w:val="22"/>
              </w:rPr>
              <w:t>面积（</w:t>
            </w:r>
            <w:r w:rsidRPr="00A27264">
              <w:rPr>
                <w:rFonts w:ascii="Batang" w:eastAsia="微软雅黑" w:hAnsi="Batang" w:cs="Batang"/>
                <w:b/>
                <w:bCs/>
                <w:color w:val="000000"/>
                <w:sz w:val="22"/>
                <w:szCs w:val="22"/>
              </w:rPr>
              <w:t>㎡</w:t>
            </w:r>
            <w:r w:rsidRPr="00A27264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 w:rsidR="00AA0CFB" w:rsidRPr="00A27264" w14:paraId="5BD3A949" w14:textId="77777777" w:rsidTr="00E35F2C">
        <w:trPr>
          <w:trHeight w:val="10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3C77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8A4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主实验室</w:t>
            </w:r>
          </w:p>
          <w:p w14:paraId="64835EA2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Main Lab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749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为面积最大的实验室，可根据实际任务的需求作为干或湿实验室使用，实验室内的电源和网络接口配置灵活，同时设有超纯海水接口，能够满足多种科考任务的使用要求。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2DB8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126</w:t>
            </w:r>
          </w:p>
        </w:tc>
      </w:tr>
      <w:tr w:rsidR="00AA0CFB" w:rsidRPr="00A27264" w14:paraId="129875B1" w14:textId="77777777" w:rsidTr="00E35F2C">
        <w:trPr>
          <w:trHeight w:val="10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2D42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31B6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湿性实验室</w:t>
            </w:r>
          </w:p>
          <w:p w14:paraId="5503132B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Wet Lab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2CB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湿实验室具备良好的排水设计，用于大水量或有水溢出的试验，完成大水量采水、过滤等生地化参数的前处理工作。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4E5A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AA0CFB" w:rsidRPr="00A27264" w14:paraId="5BA506D8" w14:textId="77777777" w:rsidTr="00E35F2C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41B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787A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电子实验室</w:t>
            </w:r>
          </w:p>
          <w:p w14:paraId="301BC626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Electronics Lab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3E0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实现科考数据的处理与终端显示，含有科考设备电子终端、网络服务器等硬件。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2A93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53</w:t>
            </w:r>
          </w:p>
        </w:tc>
      </w:tr>
      <w:tr w:rsidR="00AA0CFB" w:rsidRPr="00A27264" w14:paraId="3959C8A7" w14:textId="77777777" w:rsidTr="00E35F2C">
        <w:trPr>
          <w:trHeight w:val="13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6435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39FD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分析实验室</w:t>
            </w:r>
          </w:p>
          <w:p w14:paraId="360E9EF7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Analytical Lab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2D8A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满足分析试验对洁净环境的特殊要求，主要用于痕量金属等化学元素或生物洁净样品的前处理与测定分析。实验室的空调与通风系统有独特的过滤设计，可以有效减少污染，实现十万级的洁净等级。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EFBB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AA0CFB" w:rsidRPr="00A27264" w14:paraId="7BC5CD96" w14:textId="77777777" w:rsidTr="00E35F2C">
        <w:trPr>
          <w:trHeight w:val="71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1EA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C048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通用实验室</w:t>
            </w:r>
          </w:p>
          <w:p w14:paraId="5B1C4E91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General Lab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44B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可根据实际任务的需求作为干或湿实验室使用。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065C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AA0CFB" w:rsidRPr="00A27264" w14:paraId="12EE47DF" w14:textId="77777777" w:rsidTr="00E35F2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EF59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0CE9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大气实验室</w:t>
            </w:r>
          </w:p>
          <w:p w14:paraId="49272FEB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lastRenderedPageBreak/>
              <w:t>Atmospheric Lab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C13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lastRenderedPageBreak/>
              <w:t>实现气体采样及气体样品现场分析测定。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CFB7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AA0CFB" w:rsidRPr="00A27264" w14:paraId="55CA1B76" w14:textId="77777777" w:rsidTr="00E35F2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E5D1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586C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资料处理室</w:t>
            </w:r>
          </w:p>
          <w:p w14:paraId="5974E460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Data processing Lab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191A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兼做船舶办公室，为科学家提供办公和研讨空间。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FFAB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36</w:t>
            </w:r>
          </w:p>
        </w:tc>
      </w:tr>
      <w:tr w:rsidR="00AA0CFB" w:rsidRPr="00A27264" w14:paraId="3A46B92E" w14:textId="77777777" w:rsidTr="00E35F2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DA0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A236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科考作业间</w:t>
            </w:r>
          </w:p>
          <w:p w14:paraId="0E8BB85A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Hangar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A28" w14:textId="77777777" w:rsidR="00AA0CFB" w:rsidRPr="00A27264" w:rsidRDefault="00AA0CFB" w:rsidP="00A27264">
            <w:pPr>
              <w:widowControl/>
              <w:spacing w:afterLines="50" w:after="156" w:line="340" w:lineRule="exact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供采集水样等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329E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AA0CFB" w:rsidRPr="00A27264" w14:paraId="6DDE9C8E" w14:textId="77777777" w:rsidTr="00E35F2C">
        <w:trPr>
          <w:trHeight w:val="5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F520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972D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样品储藏室</w:t>
            </w:r>
          </w:p>
          <w:p w14:paraId="02E68F4A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Sci freezer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99C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储存学科样品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48E93" w14:textId="77777777" w:rsidR="00AA0CFB" w:rsidRPr="00A27264" w:rsidRDefault="00AA0CFB" w:rsidP="00A27264">
            <w:pPr>
              <w:widowControl/>
              <w:spacing w:afterLines="50" w:after="156" w:line="340" w:lineRule="exact"/>
              <w:jc w:val="center"/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</w:pPr>
            <w:r w:rsidRPr="00A27264">
              <w:rPr>
                <w:rFonts w:ascii="微软雅黑" w:eastAsia="微软雅黑" w:hAnsi="微软雅黑" w:cs="Times New Roman"/>
                <w:color w:val="000000"/>
                <w:sz w:val="22"/>
                <w:szCs w:val="22"/>
              </w:rPr>
              <w:t>22</w:t>
            </w:r>
          </w:p>
        </w:tc>
      </w:tr>
    </w:tbl>
    <w:p w14:paraId="09C7D00E" w14:textId="15A5B3A7" w:rsidR="00AA0CFB" w:rsidRPr="00A27264" w:rsidRDefault="00AA0CFB" w:rsidP="00A27264">
      <w:pPr>
        <w:spacing w:afterLines="50" w:after="156" w:line="400" w:lineRule="exact"/>
        <w:ind w:firstLine="480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同时，科考船还设有</w:t>
      </w:r>
      <w:r w:rsidRPr="00A27264">
        <w:rPr>
          <w:rFonts w:ascii="微软雅黑" w:eastAsia="微软雅黑" w:hAnsi="微软雅黑" w:cs="Times New Roman"/>
          <w:color w:val="000000"/>
          <w:sz w:val="22"/>
          <w:szCs w:val="22"/>
        </w:rPr>
        <w:t>科考作业间、科考储物间和电器维修间，可为海上调查提供大型设备的组装和暂存区、设备维护和简易维修测试所需的工作空间。总的</w:t>
      </w:r>
      <w:r w:rsidRPr="00A27264">
        <w:rPr>
          <w:rFonts w:ascii="微软雅黑" w:eastAsia="微软雅黑" w:hAnsi="微软雅黑" w:cs="Times New Roman"/>
          <w:sz w:val="22"/>
          <w:szCs w:val="22"/>
        </w:rPr>
        <w:t>实验室面积高达375平方米，工作甲板面积432 平方米。</w:t>
      </w:r>
    </w:p>
    <w:p w14:paraId="02234A2C" w14:textId="72BE0FF9" w:rsidR="00AA0CFB" w:rsidRPr="00A27264" w:rsidRDefault="00AA0CFB" w:rsidP="00A27264">
      <w:pPr>
        <w:spacing w:afterLines="50" w:after="156" w:line="400" w:lineRule="exact"/>
        <w:ind w:firstLine="480"/>
        <w:rPr>
          <w:rFonts w:ascii="微软雅黑" w:eastAsia="微软雅黑" w:hAnsi="微软雅黑" w:cs="Times New Roman"/>
          <w:b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除了船上固定的实验空间，科考船还可根据航次计划搭载多种集装箱式移动实验室，如</w:t>
      </w:r>
      <w:r w:rsidRPr="00A27264">
        <w:rPr>
          <w:rFonts w:ascii="微软雅黑" w:eastAsia="微软雅黑" w:hAnsi="微软雅黑" w:cs="Times New Roman"/>
          <w:b/>
          <w:sz w:val="22"/>
          <w:szCs w:val="22"/>
        </w:rPr>
        <w:t>专用痕量元素采集与分析集装箱式实验室</w:t>
      </w:r>
      <w:r w:rsidRPr="00A27264">
        <w:rPr>
          <w:rFonts w:ascii="微软雅黑" w:eastAsia="微软雅黑" w:hAnsi="微软雅黑" w:cs="Times New Roman"/>
          <w:sz w:val="22"/>
          <w:szCs w:val="22"/>
        </w:rPr>
        <w:t>（可实现现场观测过程中海水痕量元素的采集、样品的前处理及分析）、</w:t>
      </w:r>
      <w:r w:rsidRPr="00A27264">
        <w:rPr>
          <w:rFonts w:ascii="微软雅黑" w:eastAsia="微软雅黑" w:hAnsi="微软雅黑" w:cs="Times New Roman"/>
          <w:b/>
          <w:sz w:val="22"/>
          <w:szCs w:val="22"/>
        </w:rPr>
        <w:t>同位素集装箱式实验室</w:t>
      </w:r>
      <w:r w:rsidRPr="00A27264">
        <w:rPr>
          <w:rFonts w:ascii="微软雅黑" w:eastAsia="微软雅黑" w:hAnsi="微软雅黑" w:cs="Times New Roman"/>
          <w:sz w:val="22"/>
          <w:szCs w:val="22"/>
        </w:rPr>
        <w:t>（应用于海洋科考同位素研究）等。</w:t>
      </w:r>
    </w:p>
    <w:p w14:paraId="4009F47F" w14:textId="4CBAB596" w:rsidR="00AA0CFB" w:rsidRPr="00A27264" w:rsidRDefault="00AA0CFB" w:rsidP="00A27264">
      <w:pPr>
        <w:spacing w:afterLines="50" w:after="156" w:line="400" w:lineRule="exact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3、科考船的</w:t>
      </w:r>
      <w:r w:rsidR="00E35F2C" w:rsidRPr="00A27264">
        <w:rPr>
          <w:rFonts w:ascii="微软雅黑" w:eastAsia="微软雅黑" w:hAnsi="微软雅黑" w:cs="Times New Roman"/>
          <w:sz w:val="22"/>
          <w:szCs w:val="22"/>
        </w:rPr>
        <w:t>海上调查装</w:t>
      </w:r>
      <w:r w:rsidR="00E35F2C" w:rsidRPr="00A27264">
        <w:rPr>
          <w:rFonts w:ascii="微软雅黑" w:eastAsia="微软雅黑" w:hAnsi="微软雅黑" w:cs="Times New Roman" w:hint="eastAsia"/>
          <w:sz w:val="22"/>
          <w:szCs w:val="22"/>
        </w:rPr>
        <w:t>备</w:t>
      </w:r>
    </w:p>
    <w:p w14:paraId="606BFF1C" w14:textId="31D51901" w:rsidR="00AA0CFB" w:rsidRPr="00A27264" w:rsidRDefault="00AA0CFB" w:rsidP="00A27264">
      <w:pPr>
        <w:spacing w:afterLines="50" w:after="156" w:line="400" w:lineRule="exact"/>
        <w:ind w:firstLine="480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本船具有“绿色、通用、洁净、安静”等先进性，可承担多学科海上综合考察任务，在所有无冰洋区开展海洋学研究和教学实习；全电力推进，进行海洋观测时动力定位精度高，设备收放、操控能力突出；配备高性能声学设备，可开展水文、化学、生物、地质地球物理、 大气和相关交叉学科的实时、同步观测和现场科学实验研究，支持远程信息高速传输。</w:t>
      </w:r>
    </w:p>
    <w:p w14:paraId="2A26B1DC" w14:textId="77777777" w:rsidR="00AA0CFB" w:rsidRPr="00A27264" w:rsidRDefault="00AA0CFB" w:rsidP="00A27264">
      <w:pPr>
        <w:spacing w:afterLines="50" w:after="156" w:line="400" w:lineRule="exact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（1）主要船载科考设备</w:t>
      </w:r>
    </w:p>
    <w:p w14:paraId="298212D9" w14:textId="77777777" w:rsidR="00AA0CFB" w:rsidRPr="00A27264" w:rsidRDefault="00AA0CFB" w:rsidP="00A27264">
      <w:pPr>
        <w:tabs>
          <w:tab w:val="left" w:pos="735"/>
        </w:tabs>
        <w:spacing w:afterLines="50" w:after="156" w:line="400" w:lineRule="exact"/>
        <w:ind w:right="240"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全水深多波束测深系统—EM 122 (1° x 2°)</w:t>
      </w:r>
    </w:p>
    <w:p w14:paraId="7E19E512" w14:textId="77777777" w:rsidR="00AA0CFB" w:rsidRPr="00A27264" w:rsidRDefault="00AA0CFB" w:rsidP="00A27264">
      <w:pPr>
        <w:spacing w:afterLines="50" w:after="156" w:line="400" w:lineRule="exact"/>
        <w:ind w:right="240"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中浅水多波束测深系统—EM 710 (1 °x 1°)</w:t>
      </w:r>
    </w:p>
    <w:p w14:paraId="4275E65D" w14:textId="77777777" w:rsidR="00AA0CFB" w:rsidRPr="00A27264" w:rsidRDefault="00AA0CFB" w:rsidP="00A27264">
      <w:pPr>
        <w:spacing w:afterLines="50" w:after="156" w:line="400" w:lineRule="exact"/>
        <w:ind w:right="240"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全水深浅地层剖面仪—SBP 120 (6° x 6°)</w:t>
      </w:r>
    </w:p>
    <w:p w14:paraId="40135D52" w14:textId="77777777" w:rsidR="00AA0CFB" w:rsidRPr="00A27264" w:rsidRDefault="00AA0CFB" w:rsidP="00A27264">
      <w:pPr>
        <w:spacing w:afterLines="50" w:after="156" w:line="400" w:lineRule="exact"/>
        <w:ind w:right="240"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多频高精度测深系统—EA 600 (12/38/200 kHz )</w:t>
      </w:r>
    </w:p>
    <w:p w14:paraId="41EFDCF8" w14:textId="77777777" w:rsidR="00AA0CFB" w:rsidRPr="00A27264" w:rsidRDefault="00AA0CFB" w:rsidP="00A27264">
      <w:pPr>
        <w:spacing w:afterLines="50" w:after="156" w:line="400" w:lineRule="exact"/>
        <w:ind w:right="240"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分裂波束声学探测系统—EK80 (18/38/70/120/200/333 kHz)</w:t>
      </w:r>
    </w:p>
    <w:p w14:paraId="29FCE931" w14:textId="77777777" w:rsidR="00AA0CFB" w:rsidRPr="00A27264" w:rsidRDefault="00AA0CFB" w:rsidP="00A27264">
      <w:pPr>
        <w:spacing w:afterLines="50" w:after="156" w:line="400" w:lineRule="exact"/>
        <w:ind w:right="240"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lastRenderedPageBreak/>
        <w:t>深水超短基线声学定位系统—HiPAP 101</w:t>
      </w:r>
    </w:p>
    <w:p w14:paraId="668AC122" w14:textId="77777777" w:rsidR="00AA0CFB" w:rsidRPr="00A27264" w:rsidRDefault="00AA0CFB" w:rsidP="00A27264">
      <w:pPr>
        <w:spacing w:afterLines="50" w:after="156" w:line="400" w:lineRule="exact"/>
        <w:ind w:right="240"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声学多普勒海流剖面仪（ADCP）—OS 38 /OS150 /WH300</w:t>
      </w:r>
    </w:p>
    <w:p w14:paraId="7420285D" w14:textId="77777777" w:rsidR="00AA0CFB" w:rsidRPr="00A27264" w:rsidRDefault="00AA0CFB" w:rsidP="00A27264">
      <w:pPr>
        <w:spacing w:afterLines="50" w:after="156" w:line="400" w:lineRule="exact"/>
        <w:ind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温盐深剖面仪及采水系统（CTD）—SBE911 plus，24瓶12升，36瓶10升</w:t>
      </w:r>
    </w:p>
    <w:p w14:paraId="10B97106" w14:textId="77777777" w:rsidR="00AA0CFB" w:rsidRPr="00A27264" w:rsidRDefault="00AA0CFB" w:rsidP="00A27264">
      <w:pPr>
        <w:spacing w:afterLines="50" w:after="156" w:line="400" w:lineRule="exact"/>
        <w:ind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走航表层海水多参数观测系统—SBE21</w:t>
      </w:r>
    </w:p>
    <w:p w14:paraId="3531A2C3" w14:textId="77777777" w:rsidR="00AA0CFB" w:rsidRPr="00A27264" w:rsidRDefault="00AA0CFB" w:rsidP="00A27264">
      <w:pPr>
        <w:spacing w:afterLines="50" w:after="156" w:line="400" w:lineRule="exact"/>
        <w:ind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海气通量观测系统— EC3000</w:t>
      </w:r>
    </w:p>
    <w:p w14:paraId="4C3DD36D" w14:textId="77777777" w:rsidR="00AA0CFB" w:rsidRPr="00A27264" w:rsidRDefault="00AA0CFB" w:rsidP="00A27264">
      <w:pPr>
        <w:spacing w:afterLines="50" w:after="156" w:line="400" w:lineRule="exact"/>
        <w:ind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船舶气象站—AWS430</w:t>
      </w:r>
    </w:p>
    <w:p w14:paraId="3B507257" w14:textId="4912FBB4" w:rsidR="00AA0CFB" w:rsidRPr="00A27264" w:rsidRDefault="00AA0CFB" w:rsidP="00A27264">
      <w:pPr>
        <w:spacing w:afterLines="50" w:after="156" w:line="400" w:lineRule="exact"/>
        <w:ind w:firstLine="619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海洋重力仪</w:t>
      </w:r>
      <w:bookmarkStart w:id="1" w:name="OLE_LINK16"/>
      <w:bookmarkStart w:id="2" w:name="OLE_LINK17"/>
      <w:r w:rsidRPr="00A27264">
        <w:rPr>
          <w:rFonts w:ascii="微软雅黑" w:eastAsia="微软雅黑" w:hAnsi="微软雅黑" w:cs="Times New Roman"/>
          <w:sz w:val="22"/>
          <w:szCs w:val="22"/>
        </w:rPr>
        <w:t>—</w:t>
      </w:r>
      <w:bookmarkEnd w:id="1"/>
      <w:bookmarkEnd w:id="2"/>
      <w:r w:rsidRPr="00A27264">
        <w:rPr>
          <w:rFonts w:ascii="微软雅黑" w:eastAsia="微软雅黑" w:hAnsi="微软雅黑" w:cs="Times New Roman"/>
          <w:sz w:val="22"/>
          <w:szCs w:val="22"/>
        </w:rPr>
        <w:t>AT1M</w:t>
      </w:r>
    </w:p>
    <w:p w14:paraId="183F36AB" w14:textId="77777777" w:rsidR="00AA0CFB" w:rsidRPr="00A27264" w:rsidRDefault="00AA0CFB" w:rsidP="00A27264">
      <w:pPr>
        <w:spacing w:afterLines="50" w:after="156" w:line="400" w:lineRule="exact"/>
        <w:rPr>
          <w:rFonts w:ascii="微软雅黑" w:eastAsia="微软雅黑" w:hAnsi="微软雅黑" w:cs="Times New Roman"/>
          <w:sz w:val="22"/>
          <w:szCs w:val="22"/>
        </w:rPr>
      </w:pPr>
      <w:r w:rsidRPr="00A27264">
        <w:rPr>
          <w:rFonts w:ascii="微软雅黑" w:eastAsia="微软雅黑" w:hAnsi="微软雅黑" w:cs="Times New Roman"/>
          <w:sz w:val="22"/>
          <w:szCs w:val="22"/>
        </w:rPr>
        <w:t>（2）甲板作业支撑设备</w:t>
      </w:r>
    </w:p>
    <w:tbl>
      <w:tblPr>
        <w:tblStyle w:val="a5"/>
        <w:tblW w:w="8330" w:type="dxa"/>
        <w:jc w:val="center"/>
        <w:tblLook w:val="04A0" w:firstRow="1" w:lastRow="0" w:firstColumn="1" w:lastColumn="0" w:noHBand="0" w:noVBand="1"/>
      </w:tblPr>
      <w:tblGrid>
        <w:gridCol w:w="1384"/>
        <w:gridCol w:w="2841"/>
        <w:gridCol w:w="4105"/>
      </w:tblGrid>
      <w:tr w:rsidR="00AA0CFB" w:rsidRPr="00A27264" w14:paraId="1C6BA699" w14:textId="77777777" w:rsidTr="00E35F2C">
        <w:trPr>
          <w:jc w:val="center"/>
        </w:trPr>
        <w:tc>
          <w:tcPr>
            <w:tcW w:w="1384" w:type="dxa"/>
            <w:vMerge w:val="restart"/>
            <w:vAlign w:val="center"/>
          </w:tcPr>
          <w:p w14:paraId="4C210767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bCs/>
                <w:sz w:val="22"/>
                <w:szCs w:val="22"/>
              </w:rPr>
              <w:t>绞车系统</w:t>
            </w:r>
          </w:p>
        </w:tc>
        <w:tc>
          <w:tcPr>
            <w:tcW w:w="2841" w:type="dxa"/>
            <w:vAlign w:val="center"/>
          </w:tcPr>
          <w:p w14:paraId="2A25C69F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CTD 绞车</w:t>
            </w:r>
          </w:p>
        </w:tc>
        <w:tc>
          <w:tcPr>
            <w:tcW w:w="4105" w:type="dxa"/>
          </w:tcPr>
          <w:p w14:paraId="06419131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缆长10000米，缆径8.18mm；可实现CTD的布放、回收。</w:t>
            </w:r>
          </w:p>
        </w:tc>
      </w:tr>
      <w:tr w:rsidR="00AA0CFB" w:rsidRPr="00A27264" w14:paraId="6383C694" w14:textId="77777777" w:rsidTr="00E35F2C">
        <w:trPr>
          <w:jc w:val="center"/>
        </w:trPr>
        <w:tc>
          <w:tcPr>
            <w:tcW w:w="1384" w:type="dxa"/>
            <w:vMerge/>
            <w:vAlign w:val="center"/>
          </w:tcPr>
          <w:p w14:paraId="68E2EBFC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6484096C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水文绞车</w:t>
            </w:r>
          </w:p>
        </w:tc>
        <w:tc>
          <w:tcPr>
            <w:tcW w:w="4105" w:type="dxa"/>
          </w:tcPr>
          <w:p w14:paraId="386A5D23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缆长8000米，缆径8.18mm；可实现水文仪器设备的布放、回收和拖曳。</w:t>
            </w:r>
          </w:p>
        </w:tc>
      </w:tr>
      <w:tr w:rsidR="00AA0CFB" w:rsidRPr="00A27264" w14:paraId="4C8F3782" w14:textId="77777777" w:rsidTr="00E35F2C">
        <w:trPr>
          <w:jc w:val="center"/>
        </w:trPr>
        <w:tc>
          <w:tcPr>
            <w:tcW w:w="1384" w:type="dxa"/>
            <w:vMerge/>
            <w:vAlign w:val="center"/>
          </w:tcPr>
          <w:p w14:paraId="516604D0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51D392BA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海洋拖曳绞车与地质绞车</w:t>
            </w:r>
          </w:p>
        </w:tc>
        <w:tc>
          <w:tcPr>
            <w:tcW w:w="4105" w:type="dxa"/>
          </w:tcPr>
          <w:p w14:paraId="3CB0CA61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光电缆：缆长10000米，缆径17.3mm；</w:t>
            </w:r>
          </w:p>
          <w:p w14:paraId="6550B8CA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钢缆：缆长15000米，缆径14.3毫米；</w:t>
            </w:r>
          </w:p>
          <w:p w14:paraId="64CDF725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可实现深拖系统、ROV和地质取样装置等大型系统的布放、回收及拖曳。</w:t>
            </w:r>
          </w:p>
        </w:tc>
      </w:tr>
      <w:tr w:rsidR="00AA0CFB" w:rsidRPr="00A27264" w14:paraId="2AEF6DDF" w14:textId="77777777" w:rsidTr="00E35F2C">
        <w:trPr>
          <w:jc w:val="center"/>
        </w:trPr>
        <w:tc>
          <w:tcPr>
            <w:tcW w:w="1384" w:type="dxa"/>
            <w:vMerge w:val="restart"/>
            <w:vAlign w:val="center"/>
          </w:tcPr>
          <w:p w14:paraId="2D5153BD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bCs/>
                <w:sz w:val="22"/>
                <w:szCs w:val="22"/>
              </w:rPr>
              <w:t>收放系统</w:t>
            </w:r>
          </w:p>
        </w:tc>
        <w:tc>
          <w:tcPr>
            <w:tcW w:w="2841" w:type="dxa"/>
            <w:vAlign w:val="center"/>
          </w:tcPr>
          <w:p w14:paraId="24064783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右舷伸缩吊</w:t>
            </w:r>
          </w:p>
        </w:tc>
        <w:tc>
          <w:tcPr>
            <w:tcW w:w="4105" w:type="dxa"/>
          </w:tcPr>
          <w:p w14:paraId="1FF23BDE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SWL 6吨，可实现船右舷中部仪器设备的布放、回收和拖曳。</w:t>
            </w:r>
          </w:p>
        </w:tc>
      </w:tr>
      <w:tr w:rsidR="00AA0CFB" w:rsidRPr="00A27264" w14:paraId="48D11708" w14:textId="77777777" w:rsidTr="00E35F2C">
        <w:trPr>
          <w:jc w:val="center"/>
        </w:trPr>
        <w:tc>
          <w:tcPr>
            <w:tcW w:w="1384" w:type="dxa"/>
            <w:vMerge/>
            <w:vAlign w:val="center"/>
          </w:tcPr>
          <w:p w14:paraId="3E56BCA8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20905F29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CTD 收放系统</w:t>
            </w:r>
          </w:p>
        </w:tc>
        <w:tc>
          <w:tcPr>
            <w:tcW w:w="4105" w:type="dxa"/>
          </w:tcPr>
          <w:p w14:paraId="5D9F7179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SWL 6吨，具备主动运动补偿功能，和导接头，可实现CTD的布放、回收。</w:t>
            </w:r>
          </w:p>
        </w:tc>
      </w:tr>
      <w:tr w:rsidR="00AA0CFB" w:rsidRPr="00A27264" w14:paraId="3866695B" w14:textId="77777777" w:rsidTr="00E35F2C">
        <w:trPr>
          <w:jc w:val="center"/>
        </w:trPr>
        <w:tc>
          <w:tcPr>
            <w:tcW w:w="1384" w:type="dxa"/>
            <w:vMerge/>
            <w:vAlign w:val="center"/>
          </w:tcPr>
          <w:p w14:paraId="186D7336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39E9A846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长柱状收放系统</w:t>
            </w:r>
          </w:p>
        </w:tc>
        <w:tc>
          <w:tcPr>
            <w:tcW w:w="4105" w:type="dxa"/>
          </w:tcPr>
          <w:p w14:paraId="53E94E1C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辅助长柱状重力活塞取样器的收放。</w:t>
            </w:r>
          </w:p>
        </w:tc>
      </w:tr>
      <w:tr w:rsidR="00AA0CFB" w:rsidRPr="00A27264" w14:paraId="70CBFA4E" w14:textId="77777777" w:rsidTr="00E35F2C">
        <w:trPr>
          <w:jc w:val="center"/>
        </w:trPr>
        <w:tc>
          <w:tcPr>
            <w:tcW w:w="1384" w:type="dxa"/>
            <w:vMerge/>
            <w:vAlign w:val="center"/>
          </w:tcPr>
          <w:p w14:paraId="4BE49216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1AC54184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艉部A型架</w:t>
            </w:r>
          </w:p>
        </w:tc>
        <w:tc>
          <w:tcPr>
            <w:tcW w:w="4105" w:type="dxa"/>
          </w:tcPr>
          <w:p w14:paraId="1C6F3188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吊重能力15吨，可实现船尾部舷外作业的布放、回收和拖曳。</w:t>
            </w:r>
          </w:p>
        </w:tc>
      </w:tr>
      <w:tr w:rsidR="00AA0CFB" w:rsidRPr="00A27264" w14:paraId="0CBBE880" w14:textId="77777777" w:rsidTr="00E35F2C">
        <w:trPr>
          <w:jc w:val="center"/>
        </w:trPr>
        <w:tc>
          <w:tcPr>
            <w:tcW w:w="1384" w:type="dxa"/>
            <w:vMerge/>
            <w:vAlign w:val="center"/>
          </w:tcPr>
          <w:p w14:paraId="5C4E829D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4AF599AD" w14:textId="77777777" w:rsidR="00AA0CFB" w:rsidRPr="00A27264" w:rsidRDefault="00AA0CFB" w:rsidP="00A27264">
            <w:pPr>
              <w:spacing w:afterLines="50" w:after="156" w:line="4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主吊、艏部辅助吊和艉部辅助吊</w:t>
            </w:r>
          </w:p>
        </w:tc>
        <w:tc>
          <w:tcPr>
            <w:tcW w:w="4105" w:type="dxa"/>
          </w:tcPr>
          <w:p w14:paraId="4B15571E" w14:textId="77777777" w:rsidR="00AA0CFB" w:rsidRPr="00A27264" w:rsidRDefault="00AA0CFB" w:rsidP="00A27264">
            <w:pPr>
              <w:spacing w:afterLines="50" w:after="156" w:line="4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A27264">
              <w:rPr>
                <w:rFonts w:ascii="微软雅黑" w:eastAsia="微软雅黑" w:hAnsi="微软雅黑"/>
                <w:sz w:val="22"/>
                <w:szCs w:val="22"/>
              </w:rPr>
              <w:t>主吊起吊能力20吨@10米，可实现调查装备及物品的转运、部分设备的收放。</w:t>
            </w:r>
          </w:p>
        </w:tc>
      </w:tr>
    </w:tbl>
    <w:p w14:paraId="65DAEF0F" w14:textId="77777777" w:rsidR="00CD6210" w:rsidRPr="00A27264" w:rsidRDefault="00CD6210" w:rsidP="00A27264">
      <w:pPr>
        <w:spacing w:afterLines="50" w:after="156" w:line="400" w:lineRule="exact"/>
        <w:ind w:firstLine="420"/>
        <w:rPr>
          <w:rFonts w:ascii="微软雅黑" w:eastAsia="微软雅黑" w:hAnsi="微软雅黑" w:cs="Times New Roman"/>
          <w:sz w:val="22"/>
          <w:szCs w:val="22"/>
        </w:rPr>
      </w:pPr>
    </w:p>
    <w:sectPr w:rsidR="00CD6210" w:rsidRPr="00A27264" w:rsidSect="003D23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A5C8" w14:textId="77777777" w:rsidR="00404F33" w:rsidRDefault="00404F33" w:rsidP="00A27264">
      <w:r>
        <w:separator/>
      </w:r>
    </w:p>
  </w:endnote>
  <w:endnote w:type="continuationSeparator" w:id="0">
    <w:p w14:paraId="68EAE3AE" w14:textId="77777777" w:rsidR="00404F33" w:rsidRDefault="00404F33" w:rsidP="00A2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582F0" w14:textId="77777777" w:rsidR="00404F33" w:rsidRDefault="00404F33" w:rsidP="00A27264">
      <w:r>
        <w:separator/>
      </w:r>
    </w:p>
  </w:footnote>
  <w:footnote w:type="continuationSeparator" w:id="0">
    <w:p w14:paraId="1FB87368" w14:textId="77777777" w:rsidR="00404F33" w:rsidRDefault="00404F33" w:rsidP="00A2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2C1"/>
    <w:multiLevelType w:val="hybridMultilevel"/>
    <w:tmpl w:val="F19229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B15937"/>
    <w:multiLevelType w:val="hybridMultilevel"/>
    <w:tmpl w:val="E0FA5898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5D77B3"/>
    <w:multiLevelType w:val="hybridMultilevel"/>
    <w:tmpl w:val="A096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41"/>
    <w:rsid w:val="0005095A"/>
    <w:rsid w:val="000617D0"/>
    <w:rsid w:val="00074290"/>
    <w:rsid w:val="000B02F0"/>
    <w:rsid w:val="000B4922"/>
    <w:rsid w:val="000B7FCC"/>
    <w:rsid w:val="000C5DC5"/>
    <w:rsid w:val="00106B36"/>
    <w:rsid w:val="001160A7"/>
    <w:rsid w:val="00133866"/>
    <w:rsid w:val="00145A36"/>
    <w:rsid w:val="001509FB"/>
    <w:rsid w:val="001813DC"/>
    <w:rsid w:val="00186631"/>
    <w:rsid w:val="00197E13"/>
    <w:rsid w:val="001C6A5E"/>
    <w:rsid w:val="001E438D"/>
    <w:rsid w:val="001F0EC8"/>
    <w:rsid w:val="00214FC9"/>
    <w:rsid w:val="0023252B"/>
    <w:rsid w:val="00234CAE"/>
    <w:rsid w:val="00242080"/>
    <w:rsid w:val="00261618"/>
    <w:rsid w:val="002623B6"/>
    <w:rsid w:val="00263473"/>
    <w:rsid w:val="00300B16"/>
    <w:rsid w:val="00355D1C"/>
    <w:rsid w:val="003C05A6"/>
    <w:rsid w:val="003D2312"/>
    <w:rsid w:val="003F5501"/>
    <w:rsid w:val="003F6358"/>
    <w:rsid w:val="00404F33"/>
    <w:rsid w:val="004476A6"/>
    <w:rsid w:val="004B0823"/>
    <w:rsid w:val="004C15D4"/>
    <w:rsid w:val="004D1821"/>
    <w:rsid w:val="0050726B"/>
    <w:rsid w:val="00534B55"/>
    <w:rsid w:val="00550F78"/>
    <w:rsid w:val="005542F4"/>
    <w:rsid w:val="00555BD4"/>
    <w:rsid w:val="00595495"/>
    <w:rsid w:val="005A4F32"/>
    <w:rsid w:val="005B3D00"/>
    <w:rsid w:val="005E11BE"/>
    <w:rsid w:val="005E7113"/>
    <w:rsid w:val="005F1BBA"/>
    <w:rsid w:val="006916A0"/>
    <w:rsid w:val="006A2E36"/>
    <w:rsid w:val="00732CF2"/>
    <w:rsid w:val="007D33CB"/>
    <w:rsid w:val="00811BCB"/>
    <w:rsid w:val="00833881"/>
    <w:rsid w:val="0084008C"/>
    <w:rsid w:val="00866D2B"/>
    <w:rsid w:val="008962D1"/>
    <w:rsid w:val="008C0CAA"/>
    <w:rsid w:val="008E0E68"/>
    <w:rsid w:val="009952EE"/>
    <w:rsid w:val="009A6075"/>
    <w:rsid w:val="009E4BD0"/>
    <w:rsid w:val="009E532D"/>
    <w:rsid w:val="009F4D55"/>
    <w:rsid w:val="00A04A63"/>
    <w:rsid w:val="00A27264"/>
    <w:rsid w:val="00A42268"/>
    <w:rsid w:val="00A55E1E"/>
    <w:rsid w:val="00A604B6"/>
    <w:rsid w:val="00A70B79"/>
    <w:rsid w:val="00A75310"/>
    <w:rsid w:val="00A854F0"/>
    <w:rsid w:val="00A94D70"/>
    <w:rsid w:val="00AA0CFB"/>
    <w:rsid w:val="00AA51E8"/>
    <w:rsid w:val="00AC3C77"/>
    <w:rsid w:val="00B1581B"/>
    <w:rsid w:val="00B2244A"/>
    <w:rsid w:val="00B261A8"/>
    <w:rsid w:val="00B56C34"/>
    <w:rsid w:val="00BD6044"/>
    <w:rsid w:val="00BF7799"/>
    <w:rsid w:val="00C362AC"/>
    <w:rsid w:val="00C67DB4"/>
    <w:rsid w:val="00C92855"/>
    <w:rsid w:val="00CA63FC"/>
    <w:rsid w:val="00CB6C92"/>
    <w:rsid w:val="00CD4E81"/>
    <w:rsid w:val="00CD6210"/>
    <w:rsid w:val="00CF5396"/>
    <w:rsid w:val="00CF7EC1"/>
    <w:rsid w:val="00D05236"/>
    <w:rsid w:val="00D15809"/>
    <w:rsid w:val="00D21F77"/>
    <w:rsid w:val="00D2223A"/>
    <w:rsid w:val="00D50782"/>
    <w:rsid w:val="00DD2CCD"/>
    <w:rsid w:val="00E35F2C"/>
    <w:rsid w:val="00EB7E41"/>
    <w:rsid w:val="00F12EBF"/>
    <w:rsid w:val="00F16CBA"/>
    <w:rsid w:val="00F87AE3"/>
    <w:rsid w:val="00FA5984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93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0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List Paragraph"/>
    <w:basedOn w:val="a"/>
    <w:uiPriority w:val="99"/>
    <w:qFormat/>
    <w:rsid w:val="00AA0CFB"/>
    <w:pPr>
      <w:adjustRightInd w:val="0"/>
      <w:spacing w:line="360" w:lineRule="atLeast"/>
      <w:ind w:firstLineChars="200" w:firstLine="420"/>
      <w:jc w:val="lef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5">
    <w:name w:val="Table Grid"/>
    <w:basedOn w:val="a1"/>
    <w:uiPriority w:val="59"/>
    <w:rsid w:val="00AA0CF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A2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72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2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7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Shiwei</cp:lastModifiedBy>
  <cp:revision>4</cp:revision>
  <dcterms:created xsi:type="dcterms:W3CDTF">2017-05-08T09:11:00Z</dcterms:created>
  <dcterms:modified xsi:type="dcterms:W3CDTF">2017-05-22T08:29:00Z</dcterms:modified>
</cp:coreProperties>
</file>